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bidi w:val="1"/>
        <w:spacing w:after="600" w:before="0" w:line="276" w:lineRule="auto"/>
        <w:ind w:left="1440" w:right="1440" w:firstLine="0"/>
        <w:jc w:val="center"/>
        <w:rPr>
          <w:rFonts w:ascii="Amiri" w:cs="Amiri" w:eastAsia="Amiri" w:hAnsi="Amiri"/>
          <w:b w:val="1"/>
          <w:bCs w:val="1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منظمات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حقوقية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تطالب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السلطات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الإيطالية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بوقف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الترحيل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القسري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لمحمد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وضمان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حقه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الحماية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الدولية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روما</w:t>
      </w:r>
      <w:r w:rsidDel="00000000" w:rsidR="00000000" w:rsidRPr="00000000">
        <w:rPr>
          <w:rFonts w:ascii="Amiri" w:cs="Amiri" w:eastAsia="Amiri" w:hAnsi="Amiri"/>
          <w:rtl w:val="1"/>
        </w:rPr>
        <w:t xml:space="preserve">، 2 </w:t>
      </w:r>
      <w:r w:rsidDel="00000000" w:rsidR="00000000" w:rsidRPr="00000000">
        <w:rPr>
          <w:rFonts w:ascii="Amiri" w:cs="Amiri" w:eastAsia="Amiri" w:hAnsi="Amiri"/>
          <w:rtl w:val="1"/>
        </w:rPr>
        <w:t xml:space="preserve">ديسمبر</w:t>
      </w:r>
      <w:r w:rsidDel="00000000" w:rsidR="00000000" w:rsidRPr="00000000">
        <w:rPr>
          <w:rFonts w:ascii="Amiri" w:cs="Amiri" w:eastAsia="Amiri" w:hAnsi="Amiri"/>
          <w:rtl w:val="1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طالب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منظمات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المجتمع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المدني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الموقعه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أدناه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الحكومة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الإيطالية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ووزارة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الداخلية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بوقف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محمد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محمود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إبراهيم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شاهين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التزام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يقع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عاتق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إيطاليا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مسؤوليات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واحترام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تام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لمبدأ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عدم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الإعادة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القسرية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محمد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محمود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إبراهيم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شاهين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مواطن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استقر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مدينة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تورينو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الإيطالية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منذ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قرابة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عشرين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عام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وقد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وجد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نفسه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مواجهة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إجراءات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قانونية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ظالمة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شابتها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عيوب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إجرائية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فادحة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منذ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الرابع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والعشرين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نوفمبر</w:t>
      </w:r>
      <w:r w:rsidDel="00000000" w:rsidR="00000000" w:rsidRPr="00000000">
        <w:rPr>
          <w:rFonts w:ascii="Amiri" w:cs="Amiri" w:eastAsia="Amiri" w:hAnsi="Amiri"/>
          <w:rtl w:val="1"/>
        </w:rPr>
        <w:t xml:space="preserve"> 2025. </w:t>
      </w:r>
      <w:r w:rsidDel="00000000" w:rsidR="00000000" w:rsidRPr="00000000">
        <w:rPr>
          <w:rFonts w:ascii="Amiri" w:cs="Amiri" w:eastAsia="Amiri" w:hAnsi="Amiri"/>
          <w:rtl w:val="1"/>
        </w:rPr>
        <w:t xml:space="preserve">فقد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بادرت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وزارة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الداخلية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بإلغاء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تصريح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إقامته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الأوروبي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طويل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الأجل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استناد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المادة</w:t>
      </w:r>
      <w:r w:rsidDel="00000000" w:rsidR="00000000" w:rsidRPr="00000000">
        <w:rPr>
          <w:rFonts w:ascii="Amiri" w:cs="Amiri" w:eastAsia="Amiri" w:hAnsi="Amiri"/>
          <w:rtl w:val="1"/>
        </w:rPr>
        <w:t xml:space="preserve"> 13،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الفقرة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1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القانون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الموحد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للهجرة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(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المرسوم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رقم</w:t>
      </w:r>
      <w:r w:rsidDel="00000000" w:rsidR="00000000" w:rsidRPr="00000000">
        <w:rPr>
          <w:rFonts w:ascii="Amiri" w:cs="Amiri" w:eastAsia="Amiri" w:hAnsi="Amiri"/>
          <w:rtl w:val="1"/>
        </w:rPr>
        <w:t xml:space="preserve"> 286/1998) </w:t>
      </w:r>
      <w:r w:rsidDel="00000000" w:rsidR="00000000" w:rsidRPr="00000000">
        <w:rPr>
          <w:rFonts w:ascii="Amiri" w:cs="Amiri" w:eastAsia="Amiri" w:hAnsi="Amiri"/>
          <w:rtl w:val="1"/>
        </w:rPr>
        <w:t xml:space="preserve">وتعديلاته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اللاحقة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والذي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جيز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طرد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الأجانب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متى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اعت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بروا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شكلون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خطر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المجتمع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تهديد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للأمن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الوطني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تشمل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الادعاءات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الواردة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بحق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قرار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الترحيل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أنه</w:t>
      </w:r>
      <w:r w:rsidDel="00000000" w:rsidR="00000000" w:rsidRPr="00000000">
        <w:rPr>
          <w:rFonts w:ascii="Amiri" w:cs="Amiri" w:eastAsia="Amiri" w:hAnsi="Amiri"/>
          <w:rtl w:val="1"/>
        </w:rPr>
        <w:t xml:space="preserve"> "</w:t>
      </w:r>
      <w:r w:rsidDel="00000000" w:rsidR="00000000" w:rsidRPr="00000000">
        <w:rPr>
          <w:rFonts w:ascii="Amiri" w:cs="Amiri" w:eastAsia="Amiri" w:hAnsi="Amiri"/>
          <w:rtl w:val="1"/>
        </w:rPr>
        <w:t xml:space="preserve">ينتمي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أيديولوجيا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متطرفة</w:t>
      </w:r>
      <w:r w:rsidDel="00000000" w:rsidR="00000000" w:rsidRPr="00000000">
        <w:rPr>
          <w:rFonts w:ascii="Amiri" w:cs="Amiri" w:eastAsia="Amiri" w:hAnsi="Amiri"/>
          <w:rtl w:val="1"/>
        </w:rPr>
        <w:t xml:space="preserve">"، </w:t>
      </w:r>
      <w:r w:rsidDel="00000000" w:rsidR="00000000" w:rsidRPr="00000000">
        <w:rPr>
          <w:rFonts w:ascii="Amiri" w:cs="Amiri" w:eastAsia="Amiri" w:hAnsi="Amiri"/>
          <w:rtl w:val="1"/>
        </w:rPr>
        <w:t xml:space="preserve">إضافة</w:t>
      </w:r>
      <w:r w:rsidDel="00000000" w:rsidR="00000000" w:rsidRPr="00000000">
        <w:rPr>
          <w:rFonts w:ascii="Amiri" w:cs="Amiri" w:eastAsia="Amiri" w:hAnsi="Amiri"/>
          <w:rtl w:val="1"/>
        </w:rPr>
        <w:t xml:space="preserve">ً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اتهامه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بـ</w:t>
      </w:r>
      <w:r w:rsidDel="00000000" w:rsidR="00000000" w:rsidRPr="00000000">
        <w:rPr>
          <w:rFonts w:ascii="Amiri" w:cs="Amiri" w:eastAsia="Amiri" w:hAnsi="Amiri"/>
          <w:rtl w:val="1"/>
        </w:rPr>
        <w:t xml:space="preserve">"</w:t>
      </w:r>
      <w:r w:rsidDel="00000000" w:rsidR="00000000" w:rsidRPr="00000000">
        <w:rPr>
          <w:rFonts w:ascii="Amiri" w:cs="Amiri" w:eastAsia="Amiri" w:hAnsi="Amiri"/>
          <w:rtl w:val="1"/>
        </w:rPr>
        <w:t xml:space="preserve">إغلاق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طريق</w:t>
      </w:r>
      <w:r w:rsidDel="00000000" w:rsidR="00000000" w:rsidRPr="00000000">
        <w:rPr>
          <w:rFonts w:ascii="Amiri" w:cs="Amiri" w:eastAsia="Amiri" w:hAnsi="Amiri"/>
          <w:rtl w:val="1"/>
        </w:rPr>
        <w:t xml:space="preserve">" </w:t>
      </w:r>
      <w:r w:rsidDel="00000000" w:rsidR="00000000" w:rsidRPr="00000000">
        <w:rPr>
          <w:rFonts w:ascii="Amiri" w:cs="Amiri" w:eastAsia="Amiri" w:hAnsi="Amiri"/>
          <w:rtl w:val="1"/>
        </w:rPr>
        <w:t xml:space="preserve">خلال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تظاهرة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احتجاجية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ضد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إبادة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الشعب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الفلسطيني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مايو</w:t>
      </w:r>
      <w:r w:rsidDel="00000000" w:rsidR="00000000" w:rsidRPr="00000000">
        <w:rPr>
          <w:rFonts w:ascii="Amiri" w:cs="Amiri" w:eastAsia="Amiri" w:hAnsi="Amiri"/>
          <w:rtl w:val="1"/>
        </w:rPr>
        <w:t xml:space="preserve"> 2025،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وهو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الاتهام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الذي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استندت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إليه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السلطات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المصادقة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قرار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ترحيله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كذلك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اد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عت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وزارة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الداخلية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قرارها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أدلى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بتصريح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عل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أحداث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السابع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أكتوبر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خلال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مظاهرة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تضامنية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أخرى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فلسطين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تورينو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بشهر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أكتوبر</w:t>
      </w:r>
      <w:r w:rsidDel="00000000" w:rsidR="00000000" w:rsidRPr="00000000">
        <w:rPr>
          <w:rFonts w:ascii="Amiri" w:cs="Amiri" w:eastAsia="Amiri" w:hAnsi="Amiri"/>
          <w:rtl w:val="1"/>
        </w:rPr>
        <w:t xml:space="preserve"> 2025.</w:t>
      </w:r>
    </w:p>
    <w:p w:rsidR="00000000" w:rsidDel="00000000" w:rsidP="00000000" w:rsidRDefault="00000000" w:rsidRPr="00000000" w14:paraId="00000006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وبعد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احتجازه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مركز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للشرطة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ن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قل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محمد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مركز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الاحتجاز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أجل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الترحيل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(</w:t>
      </w:r>
      <w:r w:rsidDel="00000000" w:rsidR="00000000" w:rsidRPr="00000000">
        <w:rPr>
          <w:rFonts w:ascii="Amiri" w:cs="Amiri" w:eastAsia="Amiri" w:hAnsi="Amiri"/>
          <w:rtl w:val="0"/>
        </w:rPr>
        <w:t xml:space="preserve">CPR</w:t>
      </w:r>
      <w:r w:rsidDel="00000000" w:rsidR="00000000" w:rsidRPr="00000000">
        <w:rPr>
          <w:rFonts w:ascii="Amiri" w:cs="Amiri" w:eastAsia="Amiri" w:hAnsi="Amiri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كالتانيسيتا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بعيد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أسرته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ومجتمعه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والمحامين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الذين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يدافعون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عنه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وقد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ر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فض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طلبه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للحماية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الدولية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الذي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تقد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عقب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إلغاء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تصريح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إقامته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بعد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مراجعة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ستعجلة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بشكل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ريب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hyperlink r:id="rId7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تأثرت</w:t>
        </w:r>
      </w:hyperlink>
      <w:hyperlink r:id="rId8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بلا</w:t>
        </w:r>
      </w:hyperlink>
      <w:hyperlink r:id="rId10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شك</w:t>
        </w:r>
      </w:hyperlink>
      <w:hyperlink r:id="rId12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بقرار</w:t>
        </w:r>
      </w:hyperlink>
      <w:hyperlink r:id="rId14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15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الحكومة</w:t>
        </w:r>
      </w:hyperlink>
      <w:hyperlink r:id="rId16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17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الإيطالية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تصنيف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ضمن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"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المنشأ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الآمنة</w:t>
      </w:r>
      <w:r w:rsidDel="00000000" w:rsidR="00000000" w:rsidRPr="00000000">
        <w:rPr>
          <w:rFonts w:ascii="Amiri" w:cs="Amiri" w:eastAsia="Amiri" w:hAnsi="Amiri"/>
          <w:rtl w:val="1"/>
        </w:rPr>
        <w:t xml:space="preserve">"،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وأخفقت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تمام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تقدير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حجم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المخاطر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الحقيقية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تنتظر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محمد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تلك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البلد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مارس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hyperlink r:id="rId18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التعذيب</w:t>
        </w:r>
      </w:hyperlink>
      <w:hyperlink r:id="rId19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بشكل</w:t>
        </w:r>
      </w:hyperlink>
      <w:hyperlink r:id="rId21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ممنهج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وحيث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خضع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السلطات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المواطنين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للاعتقال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التعسفي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والسجن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الجائر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عقب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محاكمات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صورية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لمجرد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آرائهم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السياسية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وي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عل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سيد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نصر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المدير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التنفيذي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لجمعية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إيجيبت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وايد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لحقوق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الإنسان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قائلا</w:t>
      </w:r>
      <w:r w:rsidDel="00000000" w:rsidR="00000000" w:rsidRPr="00000000">
        <w:rPr>
          <w:rFonts w:ascii="Amiri" w:cs="Amiri" w:eastAsia="Amiri" w:hAnsi="Amiri"/>
          <w:rtl w:val="1"/>
        </w:rPr>
        <w:t xml:space="preserve">ً: "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السلطات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الإيطالية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درك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تمام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حجم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المخاطر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الجسيمة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حدق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بمحمد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إن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ضي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هذا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القرار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سيضع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إيطاليا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موقف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الانتهاك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الصريح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لالتزاماتها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بموجب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القانون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الدولي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لحقوق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الإنسان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يحدث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لمحمد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ليس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سوى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مثال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آخر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حالة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التراجع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قلق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احترام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سيادة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القانون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وحقوق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الإنسان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نشهدها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عالمي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مكن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لأي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تد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عي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بمصداقية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أخرى</w:t>
      </w:r>
      <w:r w:rsidDel="00000000" w:rsidR="00000000" w:rsidRPr="00000000">
        <w:rPr>
          <w:rFonts w:ascii="Amiri" w:cs="Amiri" w:eastAsia="Amiri" w:hAnsi="Amiri"/>
          <w:rtl w:val="1"/>
        </w:rPr>
        <w:t xml:space="preserve"> '</w:t>
      </w:r>
      <w:r w:rsidDel="00000000" w:rsidR="00000000" w:rsidRPr="00000000">
        <w:rPr>
          <w:rFonts w:ascii="Amiri" w:cs="Amiri" w:eastAsia="Amiri" w:hAnsi="Amiri"/>
          <w:rtl w:val="1"/>
        </w:rPr>
        <w:t xml:space="preserve">آمنة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للجميع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استثناء</w:t>
      </w:r>
      <w:r w:rsidDel="00000000" w:rsidR="00000000" w:rsidRPr="00000000">
        <w:rPr>
          <w:rFonts w:ascii="Amiri" w:cs="Amiri" w:eastAsia="Amiri" w:hAnsi="Amiri"/>
          <w:rtl w:val="1"/>
        </w:rPr>
        <w:t xml:space="preserve">'، </w:t>
      </w:r>
      <w:r w:rsidDel="00000000" w:rsidR="00000000" w:rsidRPr="00000000">
        <w:rPr>
          <w:rFonts w:ascii="Amiri" w:cs="Amiri" w:eastAsia="Amiri" w:hAnsi="Amiri"/>
          <w:rtl w:val="1"/>
        </w:rPr>
        <w:t xml:space="preserve">كما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تفعل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إيطاليا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صنف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ضمن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'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المنشأ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الآمنة</w:t>
      </w:r>
      <w:r w:rsidDel="00000000" w:rsidR="00000000" w:rsidRPr="00000000">
        <w:rPr>
          <w:rFonts w:ascii="Amiri" w:cs="Amiri" w:eastAsia="Amiri" w:hAnsi="Amiri"/>
          <w:rtl w:val="1"/>
        </w:rPr>
        <w:t xml:space="preserve">'،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ولا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يجوز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لأي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تتنصل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ببساطة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التزاماتها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الجوهرية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بموجب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القانون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الدولي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لحقوق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الإنسان</w:t>
      </w:r>
      <w:r w:rsidDel="00000000" w:rsidR="00000000" w:rsidRPr="00000000">
        <w:rPr>
          <w:rFonts w:ascii="Amiri" w:cs="Amiri" w:eastAsia="Amiri" w:hAnsi="Amiri"/>
          <w:rtl w:val="1"/>
        </w:rPr>
        <w:t xml:space="preserve">".</w:t>
      </w:r>
    </w:p>
    <w:p w:rsidR="00000000" w:rsidDel="00000000" w:rsidP="00000000" w:rsidRDefault="00000000" w:rsidRPr="00000000" w14:paraId="00000008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الوقت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الذي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لغي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تصريح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إقامته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لم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يكن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لدى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محمد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سوابق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جنائية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بل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كان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عنصر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فاعلا</w:t>
      </w:r>
      <w:r w:rsidDel="00000000" w:rsidR="00000000" w:rsidRPr="00000000">
        <w:rPr>
          <w:rFonts w:ascii="Amiri" w:cs="Amiri" w:eastAsia="Amiri" w:hAnsi="Amiri"/>
          <w:rtl w:val="1"/>
        </w:rPr>
        <w:t xml:space="preserve">ً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الحياة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الاجتماعية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والثقافية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لمدينته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أوساط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الجالية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الإسلامية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بتورينو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وبحكم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دوره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كإمام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كان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دائم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طليعة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بادرين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مشاريع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الحوار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الأديان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المستوى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المحلي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سياق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التظاهرات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ساندة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للشعب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الفلسطيني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يزال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الناشطون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المحليون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يتذكرونه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بدوره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الوسيط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الذي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حرص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ضمان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السلمية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الكاملة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للمظاهرات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إن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التناقض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الواضح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الاتهامات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الموجهة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لتبرير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إجراءات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الطرد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خذت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بحقه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استناد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للمادة</w:t>
      </w:r>
      <w:r w:rsidDel="00000000" w:rsidR="00000000" w:rsidRPr="00000000">
        <w:rPr>
          <w:rFonts w:ascii="Amiri" w:cs="Amiri" w:eastAsia="Amiri" w:hAnsi="Amiri"/>
          <w:rtl w:val="1"/>
        </w:rPr>
        <w:t xml:space="preserve"> 13،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الفقرة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1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القانون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الموحد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للهجرة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مثل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حالة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ثيرة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للقلق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البالغ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استخدام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القانون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كأداة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قمعية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وإسكات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للمعارضة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السلمية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تحت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ذريعة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حماية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الوطني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وفي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هذا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الشأن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قال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لويجي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مانكوني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رئيس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منظمة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0"/>
        </w:rPr>
        <w:t xml:space="preserve">A</w:t>
      </w:r>
      <w:r w:rsidDel="00000000" w:rsidR="00000000" w:rsidRPr="00000000">
        <w:rPr>
          <w:rFonts w:ascii="Amiri" w:cs="Amiri" w:eastAsia="Amiri" w:hAnsi="Ami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0"/>
        </w:rPr>
        <w:t xml:space="preserve">Buon</w:t>
      </w:r>
      <w:r w:rsidDel="00000000" w:rsidR="00000000" w:rsidRPr="00000000">
        <w:rPr>
          <w:rFonts w:ascii="Amiri" w:cs="Amiri" w:eastAsia="Amiri" w:hAnsi="Ami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0"/>
        </w:rPr>
        <w:t xml:space="preserve">Diritto</w:t>
      </w:r>
      <w:r w:rsidDel="00000000" w:rsidR="00000000" w:rsidRPr="00000000">
        <w:rPr>
          <w:rFonts w:ascii="Amiri" w:cs="Amiri" w:eastAsia="Amiri" w:hAnsi="Amiri"/>
          <w:rtl w:val="0"/>
        </w:rPr>
        <w:t xml:space="preserve">:</w:t>
      </w:r>
      <w:r w:rsidDel="00000000" w:rsidR="00000000" w:rsidRPr="00000000">
        <w:rPr>
          <w:rFonts w:ascii="Amiri" w:cs="Amiri" w:eastAsia="Amiri" w:hAnsi="Amiri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"</w:t>
      </w:r>
      <w:r w:rsidDel="00000000" w:rsidR="00000000" w:rsidRPr="00000000">
        <w:rPr>
          <w:rFonts w:ascii="Amiri" w:cs="Amiri" w:eastAsia="Amiri" w:hAnsi="Amiri"/>
          <w:rtl w:val="1"/>
        </w:rPr>
        <w:t xml:space="preserve">نعرب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بقلقنا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البالغ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قرار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محمد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الاحتجاز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الإداري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المترتب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عليه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مركز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الاحتجاز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أجل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الترحيل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(</w:t>
      </w:r>
      <w:r w:rsidDel="00000000" w:rsidR="00000000" w:rsidRPr="00000000">
        <w:rPr>
          <w:rFonts w:ascii="Amiri" w:cs="Amiri" w:eastAsia="Amiri" w:hAnsi="Amiri"/>
          <w:rtl w:val="0"/>
        </w:rPr>
        <w:t xml:space="preserve">CPR</w:t>
      </w:r>
      <w:r w:rsidDel="00000000" w:rsidR="00000000" w:rsidRPr="00000000">
        <w:rPr>
          <w:rFonts w:ascii="Amiri" w:cs="Amiri" w:eastAsia="Amiri" w:hAnsi="Amiri"/>
          <w:rtl w:val="1"/>
        </w:rPr>
        <w:t xml:space="preserve">)،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وهو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إجراء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إداري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يفتقر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ضمانات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الدفاع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المكفولة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الإجراءات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الجنائية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رغم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ينطوي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عليه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تدبير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احتجازي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شديد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القسوة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ويأتي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استناد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شبهة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تتعلق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بسلوك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يشك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جريمة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الأساس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تصريحات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جرى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لاحق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مراجعتها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وتصحيحها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يواجه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الأجانب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كثير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الأحيان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خطر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الإقصاء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النسيج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الاجتماعي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الذي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يعيشون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وي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قيمون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علاقاتهم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داخله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ويشك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لون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جزء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أصيل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منه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ثم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ترحيلهم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إيطاليا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بدل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منحهم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الضمانات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نفسها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ينبغي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لدولة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يحكمها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القانون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تكفلها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للجميع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ونرى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أمر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بالغ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الخطورة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ويقو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الحقوق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الأساسية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للفرد</w:t>
      </w:r>
      <w:r w:rsidDel="00000000" w:rsidR="00000000" w:rsidRPr="00000000">
        <w:rPr>
          <w:rFonts w:ascii="Amiri" w:cs="Amiri" w:eastAsia="Amiri" w:hAnsi="Amiri"/>
          <w:rtl w:val="1"/>
        </w:rPr>
        <w:t xml:space="preserve">" </w:t>
      </w:r>
    </w:p>
    <w:p w:rsidR="00000000" w:rsidDel="00000000" w:rsidP="00000000" w:rsidRDefault="00000000" w:rsidRPr="00000000" w14:paraId="0000000B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ومن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جانبه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قال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ريكاردو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نوري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المتحدث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باسم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منظمة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العفو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الدولية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إيطاليا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: "</w:t>
      </w:r>
      <w:r w:rsidDel="00000000" w:rsidR="00000000" w:rsidRPr="00000000">
        <w:rPr>
          <w:rFonts w:ascii="Amiri" w:cs="Amiri" w:eastAsia="Amiri" w:hAnsi="Amiri"/>
          <w:rtl w:val="1"/>
        </w:rPr>
        <w:t xml:space="preserve">إن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محمد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وهي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دولة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معروفة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بانتشار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التعذيب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وحالات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الإخفاء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القسري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سيعر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حياته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لخطر</w:t>
      </w:r>
      <w:r w:rsidDel="00000000" w:rsidR="00000000" w:rsidRPr="00000000">
        <w:rPr>
          <w:rFonts w:ascii="Amiri" w:cs="Amiri" w:eastAsia="Amiri" w:hAnsi="Amiri"/>
          <w:rtl w:val="1"/>
        </w:rPr>
        <w:t xml:space="preserve">ٍ </w:t>
      </w:r>
      <w:r w:rsidDel="00000000" w:rsidR="00000000" w:rsidRPr="00000000">
        <w:rPr>
          <w:rFonts w:ascii="Amiri" w:cs="Amiri" w:eastAsia="Amiri" w:hAnsi="Amiri"/>
          <w:rtl w:val="1"/>
        </w:rPr>
        <w:t xml:space="preserve">جسيم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ويعود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إجراء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غير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عادل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وغير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متناسب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اتخذته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السلطات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الإيطالية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وهو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نتيجة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لاستخدام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قمعي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لسياسات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الوطني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وهو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الإجراء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الذي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نطالب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بإلغائه</w:t>
      </w:r>
      <w:r w:rsidDel="00000000" w:rsidR="00000000" w:rsidRPr="00000000">
        <w:rPr>
          <w:rFonts w:ascii="Amiri" w:cs="Amiri" w:eastAsia="Amiri" w:hAnsi="Amiri"/>
          <w:rtl w:val="1"/>
        </w:rPr>
        <w:t xml:space="preserve">"</w:t>
      </w:r>
    </w:p>
    <w:p w:rsidR="00000000" w:rsidDel="00000000" w:rsidP="00000000" w:rsidRDefault="00000000" w:rsidRPr="00000000" w14:paraId="0000000C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خلال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السنوات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الماضية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وث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قت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المنظمات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الموق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عة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هذا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البيان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hyperlink r:id="rId23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حالات</w:t>
        </w:r>
      </w:hyperlink>
      <w:hyperlink r:id="rId24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25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عديدة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تعر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مواطنون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مصريون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hyperlink r:id="rId26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عائدون</w:t>
        </w:r>
      </w:hyperlink>
      <w:hyperlink r:id="rId27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28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من</w:t>
        </w:r>
      </w:hyperlink>
      <w:hyperlink r:id="rId29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30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الخارج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- </w:t>
      </w:r>
      <w:r w:rsidDel="00000000" w:rsidR="00000000" w:rsidRPr="00000000">
        <w:rPr>
          <w:rFonts w:ascii="Amiri" w:cs="Amiri" w:eastAsia="Amiri" w:hAnsi="Amiri"/>
          <w:rtl w:val="1"/>
        </w:rPr>
        <w:t xml:space="preserve">سواء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hyperlink r:id="rId31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عودة</w:t>
        </w:r>
      </w:hyperlink>
      <w:hyperlink r:id="rId32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طوعية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عبر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إجراءات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hyperlink r:id="rId34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ترحيل</w:t>
        </w:r>
      </w:hyperlink>
      <w:hyperlink r:id="rId35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36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من</w:t>
        </w:r>
      </w:hyperlink>
      <w:hyperlink r:id="rId37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38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دول</w:t>
        </w:r>
      </w:hyperlink>
      <w:hyperlink r:id="rId39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40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ثالثة</w:t>
        </w:r>
      </w:hyperlink>
      <w:r w:rsidDel="00000000" w:rsidR="00000000" w:rsidRPr="00000000">
        <w:rPr>
          <w:rFonts w:ascii="Amiri" w:cs="Amiri" w:eastAsia="Amiri" w:hAnsi="Amiri"/>
          <w:rtl w:val="0"/>
        </w:rPr>
        <w:t xml:space="preserve"> - </w:t>
      </w:r>
      <w:hyperlink r:id="rId41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لانتهاكات</w:t>
        </w:r>
      </w:hyperlink>
      <w:hyperlink r:id="rId42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43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خطيرة</w:t>
        </w:r>
      </w:hyperlink>
      <w:hyperlink r:id="rId44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45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لحقوق</w:t>
        </w:r>
      </w:hyperlink>
      <w:hyperlink r:id="rId46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47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الإنسان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شملت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الاعتقالات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التعسفية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والاختفاء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القسري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والتعذيب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وغيره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أشكال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المعاملة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القاسية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بسبب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انتقاداتهم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الفعلية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فترضة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للحكومة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المصرية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وقد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طالت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هذه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الانتهاكات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hyperlink r:id="rId48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معارضين</w:t>
        </w:r>
      </w:hyperlink>
      <w:hyperlink r:id="rId49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50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سياسيين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</w:t>
      </w:r>
      <w:hyperlink r:id="rId51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طلاب</w:t>
        </w:r>
      </w:hyperlink>
      <w:hyperlink r:id="rId52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53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جامعات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</w:t>
      </w:r>
      <w:hyperlink r:id="rId54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ناشطين</w:t>
        </w:r>
      </w:hyperlink>
      <w:hyperlink r:id="rId55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56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حقوقيين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بل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وحتى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مواطنين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عاديين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علاقة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لهم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بأي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نشاط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سياسي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حقوقي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قريب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بعيد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كما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هناك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ممارسة</w:t>
      </w:r>
      <w:hyperlink r:id="rId57">
        <w:r w:rsidDel="00000000" w:rsidR="00000000" w:rsidRPr="00000000">
          <w:rPr>
            <w:rtl w:val="0"/>
          </w:rPr>
        </w:r>
      </w:hyperlink>
      <w:hyperlink r:id="rId58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59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راسخة</w:t>
        </w:r>
      </w:hyperlink>
      <w:hyperlink r:id="rId60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61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وم</w:t>
        </w:r>
      </w:hyperlink>
      <w:hyperlink r:id="rId62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ُ</w:t>
        </w:r>
      </w:hyperlink>
      <w:hyperlink r:id="rId63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وثقة</w:t>
        </w:r>
      </w:hyperlink>
      <w:hyperlink r:id="rId64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65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لدى</w:t>
        </w:r>
      </w:hyperlink>
      <w:hyperlink r:id="rId66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67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السلطات</w:t>
        </w:r>
      </w:hyperlink>
      <w:hyperlink r:id="rId68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69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المصرية</w:t>
        </w:r>
      </w:hyperlink>
      <w:hyperlink r:id="rId70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r w:rsidDel="00000000" w:rsidR="00000000" w:rsidRPr="00000000">
        <w:rPr>
          <w:rFonts w:ascii="Amiri" w:cs="Amiri" w:eastAsia="Amiri" w:hAnsi="Amiri"/>
          <w:rtl w:val="1"/>
        </w:rPr>
        <w:t xml:space="preserve">بالانتقام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hyperlink r:id="rId71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عائلات</w:t>
        </w:r>
      </w:hyperlink>
      <w:hyperlink r:id="rId72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73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المعارضين</w:t>
        </w:r>
      </w:hyperlink>
      <w:hyperlink r:id="rId74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75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السياسيين</w:t>
        </w:r>
      </w:hyperlink>
      <w:hyperlink r:id="rId76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77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وترهيبهم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بما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عبر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الاعتقالات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والاحتجاز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التعسفي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والمحاكمات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الجائرة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فضي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أحكام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سجن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ظالمة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والتعذيب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وأشكال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المعاملة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القاسية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الأخرى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فضلا</w:t>
      </w:r>
      <w:r w:rsidDel="00000000" w:rsidR="00000000" w:rsidRPr="00000000">
        <w:rPr>
          <w:rFonts w:ascii="Amiri" w:cs="Amiri" w:eastAsia="Amiri" w:hAnsi="Amiri"/>
          <w:rtl w:val="1"/>
        </w:rPr>
        <w:t xml:space="preserve">ً </w:t>
      </w:r>
      <w:r w:rsidDel="00000000" w:rsidR="00000000" w:rsidRPr="00000000">
        <w:rPr>
          <w:rFonts w:ascii="Amiri" w:cs="Amiri" w:eastAsia="Amiri" w:hAnsi="Amiri"/>
          <w:rtl w:val="1"/>
        </w:rPr>
        <w:t xml:space="preserve">عن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الاختفاء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القسري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وبالنظر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السلطات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المصرية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سبق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لاحقت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أفراد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عائلة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قضائي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بسبب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مواقفهم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السياسية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فإننا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قناعة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راسخة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بأنه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سيواجه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خطر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حقيقي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وماثلا</w:t>
      </w:r>
      <w:r w:rsidDel="00000000" w:rsidR="00000000" w:rsidRPr="00000000">
        <w:rPr>
          <w:rFonts w:ascii="Amiri" w:cs="Amiri" w:eastAsia="Amiri" w:hAnsi="Amiri"/>
          <w:rtl w:val="1"/>
        </w:rPr>
        <w:t xml:space="preserve">ً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التعرض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لانتهاكات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حقوق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الإنسان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بما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الاحتجاز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التعسفي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والمحاكمة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الجائرة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والسجن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الظالم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والاختفاء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القسري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والتعذيب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وغيره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المعاملة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القاسية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إعادته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قسر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. </w:t>
      </w:r>
      <w:r w:rsidDel="00000000" w:rsidR="00000000" w:rsidRPr="00000000">
        <w:rPr>
          <w:rFonts w:ascii="Amiri" w:cs="Amiri" w:eastAsia="Amiri" w:hAnsi="Amiri"/>
          <w:rtl w:val="1"/>
        </w:rPr>
        <w:t xml:space="preserve">بل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هذه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المخاطر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ستتضاعف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أكثر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بسبب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وصم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السلطات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الإيطالية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كتهديد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أمني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</w:t>
      </w:r>
      <w:r w:rsidDel="00000000" w:rsidR="00000000" w:rsidRPr="00000000">
        <w:rPr>
          <w:rFonts w:ascii="Amiri" w:cs="Amiri" w:eastAsia="Amiri" w:hAnsi="Amiri"/>
          <w:rtl w:val="1"/>
        </w:rPr>
        <w:t xml:space="preserve"> "</w:t>
      </w:r>
      <w:r w:rsidDel="00000000" w:rsidR="00000000" w:rsidRPr="00000000">
        <w:rPr>
          <w:rFonts w:ascii="Amiri" w:cs="Amiri" w:eastAsia="Amiri" w:hAnsi="Amiri"/>
          <w:rtl w:val="1"/>
        </w:rPr>
        <w:t xml:space="preserve">خطر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اجتماعي</w:t>
      </w:r>
      <w:r w:rsidDel="00000000" w:rsidR="00000000" w:rsidRPr="00000000">
        <w:rPr>
          <w:rFonts w:ascii="Amiri" w:cs="Amiri" w:eastAsia="Amiri" w:hAnsi="Amiri"/>
          <w:rtl w:val="1"/>
        </w:rPr>
        <w:t xml:space="preserve">".</w:t>
      </w:r>
    </w:p>
    <w:p w:rsidR="00000000" w:rsidDel="00000000" w:rsidP="00000000" w:rsidRDefault="00000000" w:rsidRPr="00000000" w14:paraId="0000000E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وقد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سبق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لبعض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المنظمات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الموق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عة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هذا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البيان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عب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رت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قلقها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العميق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الانتهاكات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الجسيمة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قد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يتعرض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حال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رسالة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وج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هتها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رئيس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مجلس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الوزراء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الإيطالي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ووزارة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الداخلية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طالبت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بوقف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إجراءات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الترحيل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وأرفقت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معها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تقارير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ووثائق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فص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بي</w:t>
      </w:r>
      <w:r w:rsidDel="00000000" w:rsidR="00000000" w:rsidRPr="00000000">
        <w:rPr>
          <w:rFonts w:ascii="Amiri" w:cs="Amiri" w:eastAsia="Amiri" w:hAnsi="Amiri"/>
          <w:rtl w:val="1"/>
        </w:rPr>
        <w:t xml:space="preserve">ّ</w:t>
      </w:r>
      <w:r w:rsidDel="00000000" w:rsidR="00000000" w:rsidRPr="00000000">
        <w:rPr>
          <w:rFonts w:ascii="Amiri" w:cs="Amiri" w:eastAsia="Amiri" w:hAnsi="Amiri"/>
          <w:rtl w:val="1"/>
        </w:rPr>
        <w:t xml:space="preserve">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خطورة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هذه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الانتهاكات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وفداحتها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أننا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نتلق</w:t>
      </w:r>
      <w:r w:rsidDel="00000000" w:rsidR="00000000" w:rsidRPr="00000000">
        <w:rPr>
          <w:rFonts w:ascii="Amiri" w:cs="Amiri" w:eastAsia="Amiri" w:hAnsi="Amiri"/>
          <w:rtl w:val="1"/>
        </w:rPr>
        <w:t xml:space="preserve">َ </w:t>
      </w:r>
      <w:r w:rsidDel="00000000" w:rsidR="00000000" w:rsidRPr="00000000">
        <w:rPr>
          <w:rFonts w:ascii="Amiri" w:cs="Amiri" w:eastAsia="Amiri" w:hAnsi="Amiri"/>
          <w:rtl w:val="1"/>
        </w:rPr>
        <w:t xml:space="preserve">أي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رد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حتى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هذه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اللحظة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لذا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فإننا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ن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طالب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السلطات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الإيطالية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التزام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منها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hyperlink r:id="rId78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بمسؤولياتها</w:t>
        </w:r>
      </w:hyperlink>
      <w:hyperlink r:id="rId79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80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في</w:t>
        </w:r>
      </w:hyperlink>
      <w:hyperlink r:id="rId81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82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مجال</w:t>
        </w:r>
      </w:hyperlink>
      <w:hyperlink r:id="rId83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84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حقوق</w:t>
        </w:r>
      </w:hyperlink>
      <w:hyperlink r:id="rId85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 </w:t>
        </w:r>
      </w:hyperlink>
      <w:hyperlink r:id="rId86">
        <w:r w:rsidDel="00000000" w:rsidR="00000000" w:rsidRPr="00000000">
          <w:rPr>
            <w:rFonts w:ascii="Amiri" w:cs="Amiri" w:eastAsia="Amiri" w:hAnsi="Amiri"/>
            <w:color w:val="1155cc"/>
            <w:u w:val="single"/>
            <w:rtl w:val="1"/>
          </w:rPr>
          <w:t xml:space="preserve">الإنسان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بما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ذلك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كل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إنسان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عدم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التعرض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للمعاملة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القاسية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اللاإنسانية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أو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الم</w:t>
      </w:r>
      <w:r w:rsidDel="00000000" w:rsidR="00000000" w:rsidRPr="00000000">
        <w:rPr>
          <w:rFonts w:ascii="Amiri" w:cs="Amiri" w:eastAsia="Amiri" w:hAnsi="Amiri"/>
          <w:rtl w:val="1"/>
        </w:rPr>
        <w:t xml:space="preserve">ُ</w:t>
      </w:r>
      <w:r w:rsidDel="00000000" w:rsidR="00000000" w:rsidRPr="00000000">
        <w:rPr>
          <w:rFonts w:ascii="Amiri" w:cs="Amiri" w:eastAsia="Amiri" w:hAnsi="Amiri"/>
          <w:rtl w:val="1"/>
        </w:rPr>
        <w:t xml:space="preserve">هينة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والحق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الحياة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الأسرية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الخاصة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ومبدأ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عدم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الإعادة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القسرية</w:t>
      </w:r>
      <w:r w:rsidDel="00000000" w:rsidR="00000000" w:rsidRPr="00000000">
        <w:rPr>
          <w:rFonts w:ascii="Amiri" w:cs="Amiri" w:eastAsia="Amiri" w:hAnsi="Amiri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rtl w:val="1"/>
        </w:rPr>
        <w:t xml:space="preserve">بأن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توقف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فور</w:t>
      </w:r>
      <w:r w:rsidDel="00000000" w:rsidR="00000000" w:rsidRPr="00000000">
        <w:rPr>
          <w:rFonts w:ascii="Amiri" w:cs="Amiri" w:eastAsia="Amiri" w:hAnsi="Amiri"/>
          <w:rtl w:val="1"/>
        </w:rPr>
        <w:t xml:space="preserve">ً</w:t>
      </w:r>
      <w:r w:rsidDel="00000000" w:rsidR="00000000" w:rsidRPr="00000000">
        <w:rPr>
          <w:rFonts w:ascii="Amiri" w:cs="Amiri" w:eastAsia="Amiri" w:hAnsi="Amiri"/>
          <w:rtl w:val="1"/>
        </w:rPr>
        <w:t xml:space="preserve">ا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ترحيل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محمد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شاهين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إلى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مصر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وأن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تضمن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له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حقه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الكامل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طلب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الحماية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الدولية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على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الأراضي</w:t>
      </w:r>
      <w:r w:rsidDel="00000000" w:rsidR="00000000" w:rsidRPr="00000000">
        <w:rPr>
          <w:rFonts w:ascii="Amiri" w:cs="Amiri" w:eastAsia="Amiri" w:hAnsi="Amiri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1"/>
        </w:rPr>
        <w:t xml:space="preserve">الإيطالية</w:t>
      </w:r>
      <w:r w:rsidDel="00000000" w:rsidR="00000000" w:rsidRPr="00000000">
        <w:rPr>
          <w:rFonts w:ascii="Amiri" w:cs="Amiri" w:eastAsia="Amiri" w:hAnsi="Amiri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="276" w:lineRule="auto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rtl w:val="1"/>
        </w:rPr>
        <w:t xml:space="preserve">الموقعون</w:t>
      </w:r>
      <w:r w:rsidDel="00000000" w:rsidR="00000000" w:rsidRPr="00000000">
        <w:rPr>
          <w:rFonts w:ascii="Amiri" w:cs="Amiri" w:eastAsia="Amiri" w:hAnsi="Amiri"/>
          <w:rtl w:val="1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إيجيبت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وايد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لحقوق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الإنسان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مؤسسة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دعم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القانون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والديمقراطية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مؤسسة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سيناء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لحقوق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الإنسان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الجبهة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المصرية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لحقوق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الإنسان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المنتدى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المصري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لحقوق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الإنسان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مركز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القاهرة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لدراسات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حقوق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الإنسان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miri" w:cs="Amiri" w:eastAsia="Amiri" w:hAnsi="Amiri"/>
          <w:rtl w:val="0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المركز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الأوروبي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للدعم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القانوني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rtl w:val="0"/>
        </w:rPr>
        <w:t xml:space="preserve">(ELSC)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مركز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النديم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منظمة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العفو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الدولية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إيطاليا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المفوضية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المصرية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للحقوق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والحريات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منصة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اللاجئين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bCs w:val="1"/>
          <w:rtl w:val="1"/>
        </w:rPr>
        <w:t xml:space="preserve">مصر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line="276" w:lineRule="auto"/>
        <w:ind w:left="720" w:hanging="360"/>
        <w:rPr>
          <w:rFonts w:ascii="Amiri" w:cs="Amiri" w:eastAsia="Amiri" w:hAnsi="Amiri"/>
          <w:b w:val="1"/>
          <w:bCs w:val="1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0"/>
        </w:rPr>
        <w:t xml:space="preserve">ARCI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line="276" w:lineRule="auto"/>
        <w:ind w:left="720" w:hanging="360"/>
        <w:jc w:val="both"/>
        <w:rPr>
          <w:rFonts w:ascii="Amiri" w:cs="Amiri" w:eastAsia="Amiri" w:hAnsi="Amiri"/>
        </w:rPr>
      </w:pPr>
      <w:r w:rsidDel="00000000" w:rsidR="00000000" w:rsidRPr="00000000">
        <w:rPr>
          <w:rFonts w:ascii="Amiri" w:cs="Amiri" w:eastAsia="Amiri" w:hAnsi="Amiri"/>
          <w:b w:val="1"/>
          <w:bCs w:val="1"/>
          <w:rtl w:val="0"/>
        </w:rPr>
        <w:t xml:space="preserve">A Buon Diritto</w:t>
      </w:r>
      <w:r w:rsidDel="00000000" w:rsidR="00000000" w:rsidRPr="00000000">
        <w:rPr>
          <w:rFonts w:ascii="Amiri" w:cs="Amiri" w:eastAsia="Amiri" w:hAnsi="Amiri"/>
          <w:rtl w:val="0"/>
        </w:rPr>
        <w:t xml:space="preserve"> </w:t>
      </w:r>
    </w:p>
    <w:p w:rsidR="00000000" w:rsidDel="00000000" w:rsidP="00000000" w:rsidRDefault="00000000" w:rsidRPr="00000000" w14:paraId="0000001E">
      <w:pPr>
        <w:bidi w:val="1"/>
        <w:spacing w:line="276" w:lineRule="auto"/>
        <w:ind w:left="720" w:firstLine="0"/>
        <w:jc w:val="both"/>
        <w:rPr>
          <w:rFonts w:ascii="Amiri" w:cs="Amiri" w:eastAsia="Amiri" w:hAnsi="Ami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mir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arciporcorosso.it/semestrale-2025/" TargetMode="External"/><Relationship Id="rId84" Type="http://schemas.openxmlformats.org/officeDocument/2006/relationships/hyperlink" Target="https://www.echr.coe.int/documents/d/echr/convention_ENG" TargetMode="External"/><Relationship Id="rId83" Type="http://schemas.openxmlformats.org/officeDocument/2006/relationships/hyperlink" Target="https://www.echr.coe.int/documents/d/echr/convention_ENG" TargetMode="External"/><Relationship Id="rId42" Type="http://schemas.openxmlformats.org/officeDocument/2006/relationships/hyperlink" Target="https://www.hrw.org/news/2020/02/12/egypt-rights-activist-detained-allegedly-tortured" TargetMode="External"/><Relationship Id="rId86" Type="http://schemas.openxmlformats.org/officeDocument/2006/relationships/hyperlink" Target="https://www.echr.coe.int/documents/d/echr/convention_ENG" TargetMode="External"/><Relationship Id="rId41" Type="http://schemas.openxmlformats.org/officeDocument/2006/relationships/hyperlink" Target="https://www.hrw.org/news/2020/02/12/egypt-rights-activist-detained-allegedly-tortured" TargetMode="External"/><Relationship Id="rId85" Type="http://schemas.openxmlformats.org/officeDocument/2006/relationships/hyperlink" Target="https://www.echr.coe.int/documents/d/echr/convention_ENG" TargetMode="External"/><Relationship Id="rId44" Type="http://schemas.openxmlformats.org/officeDocument/2006/relationships/hyperlink" Target="https://www.hrw.org/news/2020/02/12/egypt-rights-activist-detained-allegedly-tortured" TargetMode="External"/><Relationship Id="rId43" Type="http://schemas.openxmlformats.org/officeDocument/2006/relationships/hyperlink" Target="https://www.hrw.org/news/2020/02/12/egypt-rights-activist-detained-allegedly-tortured" TargetMode="External"/><Relationship Id="rId46" Type="http://schemas.openxmlformats.org/officeDocument/2006/relationships/hyperlink" Target="https://www.hrw.org/news/2020/02/12/egypt-rights-activist-detained-allegedly-tortured" TargetMode="External"/><Relationship Id="rId45" Type="http://schemas.openxmlformats.org/officeDocument/2006/relationships/hyperlink" Target="https://www.hrw.org/news/2020/02/12/egypt-rights-activist-detained-allegedly-tortured" TargetMode="External"/><Relationship Id="rId80" Type="http://schemas.openxmlformats.org/officeDocument/2006/relationships/hyperlink" Target="https://www.echr.coe.int/documents/d/echr/convention_ENG" TargetMode="External"/><Relationship Id="rId82" Type="http://schemas.openxmlformats.org/officeDocument/2006/relationships/hyperlink" Target="https://www.echr.coe.int/documents/d/echr/convention_ENG" TargetMode="External"/><Relationship Id="rId81" Type="http://schemas.openxmlformats.org/officeDocument/2006/relationships/hyperlink" Target="https://www.echr.coe.int/documents/d/echr/convention_E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ylumineurope.org/reports/country/italy/asylum-procedure/the-safe-country-concepts/safe-country-origin/" TargetMode="External"/><Relationship Id="rId48" Type="http://schemas.openxmlformats.org/officeDocument/2006/relationships/hyperlink" Target="https://www.hrw.org/news/2018/02/26/egypt-arrests-escalate-ahead-unfair-elections" TargetMode="External"/><Relationship Id="rId47" Type="http://schemas.openxmlformats.org/officeDocument/2006/relationships/hyperlink" Target="https://www.hrw.org/news/2020/02/12/egypt-rights-activist-detained-allegedly-tortured" TargetMode="External"/><Relationship Id="rId49" Type="http://schemas.openxmlformats.org/officeDocument/2006/relationships/hyperlink" Target="https://www.hrw.org/news/2018/02/26/egypt-arrests-escalate-ahead-unfair-election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sylumineurope.org/reports/country/italy/asylum-procedure/the-safe-country-concepts/safe-country-origin/" TargetMode="External"/><Relationship Id="rId8" Type="http://schemas.openxmlformats.org/officeDocument/2006/relationships/hyperlink" Target="https://asylumineurope.org/reports/country/italy/asylum-procedure/the-safe-country-concepts/safe-country-origin/" TargetMode="External"/><Relationship Id="rId73" Type="http://schemas.openxmlformats.org/officeDocument/2006/relationships/hyperlink" Target="https://cpj.org/2025/11/cpj-partners-condemn-arrest-of-exiled-egyptian-podcast-host-seif-al-islam-eids-father/amp/" TargetMode="External"/><Relationship Id="rId72" Type="http://schemas.openxmlformats.org/officeDocument/2006/relationships/hyperlink" Target="https://cpj.org/2025/11/cpj-partners-condemn-arrest-of-exiled-egyptian-podcast-host-seif-al-islam-eids-father/amp/" TargetMode="External"/><Relationship Id="rId31" Type="http://schemas.openxmlformats.org/officeDocument/2006/relationships/hyperlink" Target="https://cdn.prod.website-files.com/603f77da05d50a1fa6418754/62066ac11523381aa1a46695_CRIMINALIZZARE-LE-MENTI_REPORTO_DI_EgyptWide.pdf" TargetMode="External"/><Relationship Id="rId75" Type="http://schemas.openxmlformats.org/officeDocument/2006/relationships/hyperlink" Target="https://cpj.org/2025/11/cpj-partners-condemn-arrest-of-exiled-egyptian-podcast-host-seif-al-islam-eids-father/amp/" TargetMode="External"/><Relationship Id="rId30" Type="http://schemas.openxmlformats.org/officeDocument/2006/relationships/hyperlink" Target="https://www.hrw.org/news/2019/04/04/egypt-deported-dissidents-missing" TargetMode="External"/><Relationship Id="rId74" Type="http://schemas.openxmlformats.org/officeDocument/2006/relationships/hyperlink" Target="https://cpj.org/2025/11/cpj-partners-condemn-arrest-of-exiled-egyptian-podcast-host-seif-al-islam-eids-father/amp/" TargetMode="External"/><Relationship Id="rId33" Type="http://schemas.openxmlformats.org/officeDocument/2006/relationships/hyperlink" Target="https://cdn.prod.website-files.com/603f77da05d50a1fa6418754/62066ac11523381aa1a46695_CRIMINALIZZARE-LE-MENTI_REPORTO_DI_EgyptWide.pdf" TargetMode="External"/><Relationship Id="rId77" Type="http://schemas.openxmlformats.org/officeDocument/2006/relationships/hyperlink" Target="https://cpj.org/2025/11/cpj-partners-condemn-arrest-of-exiled-egyptian-podcast-host-seif-al-islam-eids-father/amp/" TargetMode="External"/><Relationship Id="rId32" Type="http://schemas.openxmlformats.org/officeDocument/2006/relationships/hyperlink" Target="https://cdn.prod.website-files.com/603f77da05d50a1fa6418754/62066ac11523381aa1a46695_CRIMINALIZZARE-LE-MENTI_REPORTO_DI_EgyptWide.pdf" TargetMode="External"/><Relationship Id="rId76" Type="http://schemas.openxmlformats.org/officeDocument/2006/relationships/hyperlink" Target="https://cpj.org/2025/11/cpj-partners-condemn-arrest-of-exiled-egyptian-podcast-host-seif-al-islam-eids-father/amp/" TargetMode="External"/><Relationship Id="rId35" Type="http://schemas.openxmlformats.org/officeDocument/2006/relationships/hyperlink" Target="https://arciporcorosso.it/semestrale-2025/" TargetMode="External"/><Relationship Id="rId79" Type="http://schemas.openxmlformats.org/officeDocument/2006/relationships/hyperlink" Target="https://www.echr.coe.int/documents/d/echr/convention_ENG" TargetMode="External"/><Relationship Id="rId34" Type="http://schemas.openxmlformats.org/officeDocument/2006/relationships/hyperlink" Target="https://arciporcorosso.it/semestrale-2025/" TargetMode="External"/><Relationship Id="rId78" Type="http://schemas.openxmlformats.org/officeDocument/2006/relationships/hyperlink" Target="https://www.echr.coe.int/documents/d/echr/convention_ENG" TargetMode="External"/><Relationship Id="rId71" Type="http://schemas.openxmlformats.org/officeDocument/2006/relationships/hyperlink" Target="https://cpj.org/2025/11/cpj-partners-condemn-arrest-of-exiled-egyptian-podcast-host-seif-al-islam-eids-father/amp/" TargetMode="External"/><Relationship Id="rId70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37" Type="http://schemas.openxmlformats.org/officeDocument/2006/relationships/hyperlink" Target="https://arciporcorosso.it/semestrale-2025/" TargetMode="External"/><Relationship Id="rId36" Type="http://schemas.openxmlformats.org/officeDocument/2006/relationships/hyperlink" Target="https://arciporcorosso.it/semestrale-2025/" TargetMode="External"/><Relationship Id="rId39" Type="http://schemas.openxmlformats.org/officeDocument/2006/relationships/hyperlink" Target="https://arciporcorosso.it/semestrale-2025/" TargetMode="External"/><Relationship Id="rId38" Type="http://schemas.openxmlformats.org/officeDocument/2006/relationships/hyperlink" Target="https://arciporcorosso.it/semestrale-2025/" TargetMode="External"/><Relationship Id="rId62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61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20" Type="http://schemas.openxmlformats.org/officeDocument/2006/relationships/hyperlink" Target="https://www.icj.org/resource/egypt-torture-so-widespread-and-systematic-as-to-constitute-a-crime-against-humanity/" TargetMode="External"/><Relationship Id="rId64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63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22" Type="http://schemas.openxmlformats.org/officeDocument/2006/relationships/hyperlink" Target="https://www.icj.org/resource/egypt-torture-so-widespread-and-systematic-as-to-constitute-a-crime-against-humanity/" TargetMode="External"/><Relationship Id="rId66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21" Type="http://schemas.openxmlformats.org/officeDocument/2006/relationships/hyperlink" Target="https://www.icj.org/resource/egypt-torture-so-widespread-and-systematic-as-to-constitute-a-crime-against-humanity/" TargetMode="External"/><Relationship Id="rId65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24" Type="http://schemas.openxmlformats.org/officeDocument/2006/relationships/hyperlink" Target="https://cdn.prod.website-files.com/603f77da05d50a1fa6418754/683d6c59e3f8cc54c82bc131_Egypt_Safe%20for%20Whom_%20Position%20Paper_EgyptWide.pdf" TargetMode="External"/><Relationship Id="rId68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23" Type="http://schemas.openxmlformats.org/officeDocument/2006/relationships/hyperlink" Target="https://cdn.prod.website-files.com/603f77da05d50a1fa6418754/683d6c59e3f8cc54c82bc131_Egypt_Safe%20for%20Whom_%20Position%20Paper_EgyptWide.pdf" TargetMode="External"/><Relationship Id="rId67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60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26" Type="http://schemas.openxmlformats.org/officeDocument/2006/relationships/hyperlink" Target="https://www.hrw.org/news/2019/04/04/egypt-deported-dissidents-missing" TargetMode="External"/><Relationship Id="rId25" Type="http://schemas.openxmlformats.org/officeDocument/2006/relationships/hyperlink" Target="https://cdn.prod.website-files.com/603f77da05d50a1fa6418754/683d6c59e3f8cc54c82bc131_Egypt_Safe%20for%20Whom_%20Position%20Paper_EgyptWide.pdf" TargetMode="External"/><Relationship Id="rId69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28" Type="http://schemas.openxmlformats.org/officeDocument/2006/relationships/hyperlink" Target="https://www.hrw.org/news/2019/04/04/egypt-deported-dissidents-missing" TargetMode="External"/><Relationship Id="rId27" Type="http://schemas.openxmlformats.org/officeDocument/2006/relationships/hyperlink" Target="https://www.hrw.org/news/2019/04/04/egypt-deported-dissidents-missing" TargetMode="External"/><Relationship Id="rId29" Type="http://schemas.openxmlformats.org/officeDocument/2006/relationships/hyperlink" Target="https://www.hrw.org/news/2019/04/04/egypt-deported-dissidents-missing" TargetMode="External"/><Relationship Id="rId51" Type="http://schemas.openxmlformats.org/officeDocument/2006/relationships/hyperlink" Target="https://www.egyptwide.org/publication/criminalizing-minds" TargetMode="External"/><Relationship Id="rId50" Type="http://schemas.openxmlformats.org/officeDocument/2006/relationships/hyperlink" Target="https://www.hrw.org/news/2018/02/26/egypt-arrests-escalate-ahead-unfair-elections" TargetMode="External"/><Relationship Id="rId53" Type="http://schemas.openxmlformats.org/officeDocument/2006/relationships/hyperlink" Target="https://www.egyptwide.org/publication/criminalizing-minds" TargetMode="External"/><Relationship Id="rId52" Type="http://schemas.openxmlformats.org/officeDocument/2006/relationships/hyperlink" Target="https://www.egyptwide.org/publication/criminalizing-minds" TargetMode="External"/><Relationship Id="rId11" Type="http://schemas.openxmlformats.org/officeDocument/2006/relationships/hyperlink" Target="https://asylumineurope.org/reports/country/italy/asylum-procedure/the-safe-country-concepts/safe-country-origin/" TargetMode="External"/><Relationship Id="rId55" Type="http://schemas.openxmlformats.org/officeDocument/2006/relationships/hyperlink" Target="https://egyptianforum.org/wp-content/uploads/2024/11/Transnational-repression-ENG.pdf" TargetMode="External"/><Relationship Id="rId10" Type="http://schemas.openxmlformats.org/officeDocument/2006/relationships/hyperlink" Target="https://asylumineurope.org/reports/country/italy/asylum-procedure/the-safe-country-concepts/safe-country-origin/" TargetMode="External"/><Relationship Id="rId54" Type="http://schemas.openxmlformats.org/officeDocument/2006/relationships/hyperlink" Target="https://egyptianforum.org/wp-content/uploads/2024/11/Transnational-repression-ENG.pdf" TargetMode="External"/><Relationship Id="rId13" Type="http://schemas.openxmlformats.org/officeDocument/2006/relationships/hyperlink" Target="https://asylumineurope.org/reports/country/italy/asylum-procedure/the-safe-country-concepts/safe-country-origin/" TargetMode="External"/><Relationship Id="rId57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12" Type="http://schemas.openxmlformats.org/officeDocument/2006/relationships/hyperlink" Target="https://asylumineurope.org/reports/country/italy/asylum-procedure/the-safe-country-concepts/safe-country-origin/" TargetMode="External"/><Relationship Id="rId56" Type="http://schemas.openxmlformats.org/officeDocument/2006/relationships/hyperlink" Target="https://egyptianforum.org/wp-content/uploads/2024/11/Transnational-repression-ENG.pdf" TargetMode="External"/><Relationship Id="rId15" Type="http://schemas.openxmlformats.org/officeDocument/2006/relationships/hyperlink" Target="https://asylumineurope.org/reports/country/italy/asylum-procedure/the-safe-country-concepts/safe-country-origin/" TargetMode="External"/><Relationship Id="rId59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14" Type="http://schemas.openxmlformats.org/officeDocument/2006/relationships/hyperlink" Target="https://asylumineurope.org/reports/country/italy/asylum-procedure/the-safe-country-concepts/safe-country-origin/" TargetMode="External"/><Relationship Id="rId58" Type="http://schemas.openxmlformats.org/officeDocument/2006/relationships/hyperlink" Target="https://egyptianforum.org/en/punishment-by-proxy-in-egypt-families-of-exiled-activists-and-human-rights-defenders-held-hostage-by-the-authorities/" TargetMode="External"/><Relationship Id="rId17" Type="http://schemas.openxmlformats.org/officeDocument/2006/relationships/hyperlink" Target="https://asylumineurope.org/reports/country/italy/asylum-procedure/the-safe-country-concepts/safe-country-origin/" TargetMode="External"/><Relationship Id="rId16" Type="http://schemas.openxmlformats.org/officeDocument/2006/relationships/hyperlink" Target="https://asylumineurope.org/reports/country/italy/asylum-procedure/the-safe-country-concepts/safe-country-origin/" TargetMode="External"/><Relationship Id="rId19" Type="http://schemas.openxmlformats.org/officeDocument/2006/relationships/hyperlink" Target="https://www.icj.org/resource/egypt-torture-so-widespread-and-systematic-as-to-constitute-a-crime-against-humanity/" TargetMode="External"/><Relationship Id="rId18" Type="http://schemas.openxmlformats.org/officeDocument/2006/relationships/hyperlink" Target="https://www.icj.org/resource/egypt-torture-so-widespread-and-systematic-as-to-constitute-a-crime-against-humanit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iri-regular.ttf"/><Relationship Id="rId2" Type="http://schemas.openxmlformats.org/officeDocument/2006/relationships/font" Target="fonts/Amiri-bold.ttf"/><Relationship Id="rId3" Type="http://schemas.openxmlformats.org/officeDocument/2006/relationships/font" Target="fonts/Amiri-italic.ttf"/><Relationship Id="rId4" Type="http://schemas.openxmlformats.org/officeDocument/2006/relationships/font" Target="fonts/Amiri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4uJfmc4XfxqeTAb2bFuqmJLybA==">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